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Montserrat" w:cs="Montserrat" w:eastAsia="Montserrat" w:hAnsi="Montserrat"/>
          <w:b w:val="1"/>
          <w:color w:val="691c20"/>
          <w:sz w:val="56"/>
          <w:szCs w:val="56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3237969</wp:posOffset>
            </wp:positionH>
            <wp:positionV relativeFrom="margin">
              <wp:posOffset>-223283</wp:posOffset>
            </wp:positionV>
            <wp:extent cx="2532380" cy="1057910"/>
            <wp:effectExtent b="0" l="0" r="0" t="0"/>
            <wp:wrapSquare wrapText="bothSides" distB="0" distT="0" distL="114300" distR="114300"/>
            <wp:docPr descr="Logotipo&#10;&#10;Descripción generada automáticamente" id="2059584312" name="image1.jpg"/>
            <a:graphic>
              <a:graphicData uri="http://schemas.openxmlformats.org/drawingml/2006/picture">
                <pic:pic>
                  <pic:nvPicPr>
                    <pic:cNvPr descr="Logotipo&#10;&#10;Descripción generada automá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0579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-3479799</wp:posOffset>
                </wp:positionV>
                <wp:extent cx="117525" cy="5017135"/>
                <wp:effectExtent b="0" l="0" r="0" t="0"/>
                <wp:wrapNone/>
                <wp:docPr id="20595843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5400000">
                          <a:off x="2842195" y="3726000"/>
                          <a:ext cx="5007610" cy="108000"/>
                        </a:xfrm>
                        <a:prstGeom prst="rect">
                          <a:avLst/>
                        </a:prstGeom>
                        <a:solidFill>
                          <a:srgbClr val="E3D2A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-3479799</wp:posOffset>
                </wp:positionV>
                <wp:extent cx="117525" cy="5017135"/>
                <wp:effectExtent b="0" l="0" r="0" t="0"/>
                <wp:wrapNone/>
                <wp:docPr id="20595843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525" cy="5017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Montserrat" w:cs="Montserrat" w:eastAsia="Montserrat" w:hAnsi="Montserrat"/>
          <w:b w:val="1"/>
          <w:color w:val="691c2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Montserrat" w:cs="Montserrat" w:eastAsia="Montserrat" w:hAnsi="Montserrat"/>
          <w:b w:val="1"/>
          <w:color w:val="691c20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Montserrat" w:cs="Montserrat" w:eastAsia="Montserrat" w:hAnsi="Montserrat"/>
          <w:b w:val="1"/>
          <w:color w:val="691c20"/>
          <w:sz w:val="56"/>
          <w:szCs w:val="5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91c20"/>
          <w:sz w:val="56"/>
          <w:szCs w:val="56"/>
          <w:rtl w:val="0"/>
        </w:rPr>
        <w:t xml:space="preserve">ESQUEMA DE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50800</wp:posOffset>
                </wp:positionV>
                <wp:extent cx="5017135" cy="118405"/>
                <wp:effectExtent b="0" l="0" r="0" t="0"/>
                <wp:wrapNone/>
                <wp:docPr id="20595843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42195" y="3725560"/>
                          <a:ext cx="5007610" cy="108880"/>
                        </a:xfrm>
                        <a:prstGeom prst="rect">
                          <a:avLst/>
                        </a:prstGeom>
                        <a:solidFill>
                          <a:srgbClr val="E3D2A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50800</wp:posOffset>
                </wp:positionV>
                <wp:extent cx="5017135" cy="118405"/>
                <wp:effectExtent b="0" l="0" r="0" t="0"/>
                <wp:wrapNone/>
                <wp:docPr id="20595843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7135" cy="118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Montserrat" w:cs="Montserrat" w:eastAsia="Montserrat" w:hAnsi="Montserrat"/>
          <w:b w:val="1"/>
          <w:color w:val="691c2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91c20"/>
          <w:sz w:val="56"/>
          <w:szCs w:val="56"/>
          <w:rtl w:val="0"/>
        </w:rPr>
        <w:t xml:space="preserve">CONTRALORÍA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rPr>
          <w:rFonts w:ascii="Montserrat" w:cs="Montserrat" w:eastAsia="Montserrat" w:hAnsi="Montserrat"/>
          <w:b w:val="1"/>
          <w:color w:val="691c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480" w:lineRule="auto"/>
        <w:rPr>
          <w:rFonts w:ascii="Montserrat" w:cs="Montserrat" w:eastAsia="Montserrat" w:hAnsi="Montserrat"/>
          <w:b w:val="1"/>
          <w:color w:val="691c20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1324737</wp:posOffset>
            </wp:positionH>
            <wp:positionV relativeFrom="paragraph">
              <wp:posOffset>63118</wp:posOffset>
            </wp:positionV>
            <wp:extent cx="2962656" cy="2326234"/>
            <wp:effectExtent b="0" l="0" r="0" t="0"/>
            <wp:wrapNone/>
            <wp:docPr descr="Archivo:CETI Logo.png" id="2059584313" name="image2.png"/>
            <a:graphic>
              <a:graphicData uri="http://schemas.openxmlformats.org/drawingml/2006/picture">
                <pic:pic>
                  <pic:nvPicPr>
                    <pic:cNvPr descr="Archivo:CETI Logo.pn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2656" cy="23262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after="0" w:line="480" w:lineRule="auto"/>
        <w:rPr>
          <w:rFonts w:ascii="Montserrat" w:cs="Montserrat" w:eastAsia="Montserrat" w:hAnsi="Montserrat"/>
          <w:b w:val="1"/>
          <w:color w:val="691c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rPr>
          <w:rFonts w:ascii="Montserrat" w:cs="Montserrat" w:eastAsia="Montserrat" w:hAnsi="Montserrat"/>
          <w:b w:val="1"/>
          <w:color w:val="691c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480" w:lineRule="auto"/>
        <w:rPr>
          <w:rFonts w:ascii="Montserrat" w:cs="Montserrat" w:eastAsia="Montserrat" w:hAnsi="Montserrat"/>
          <w:b w:val="1"/>
          <w:color w:val="691c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rPr>
          <w:rFonts w:ascii="Montserrat" w:cs="Montserrat" w:eastAsia="Montserrat" w:hAnsi="Montserrat"/>
          <w:b w:val="1"/>
          <w:color w:val="691c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480" w:lineRule="auto"/>
        <w:rPr>
          <w:rFonts w:ascii="Montserrat" w:cs="Montserrat" w:eastAsia="Montserrat" w:hAnsi="Montserrat"/>
          <w:b w:val="1"/>
          <w:color w:val="691c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480" w:lineRule="auto"/>
        <w:rPr>
          <w:rFonts w:ascii="Montserrat" w:cs="Montserrat" w:eastAsia="Montserrat" w:hAnsi="Montserrat"/>
          <w:b w:val="1"/>
          <w:color w:val="691c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480" w:lineRule="auto"/>
        <w:rPr>
          <w:rFonts w:ascii="Montserrat" w:cs="Montserrat" w:eastAsia="Montserrat" w:hAnsi="Montserrat"/>
          <w:b w:val="1"/>
          <w:color w:val="691c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480" w:lineRule="auto"/>
        <w:jc w:val="both"/>
        <w:rPr>
          <w:rFonts w:ascii="Montserrat" w:cs="Montserrat" w:eastAsia="Montserrat" w:hAnsi="Montserrat"/>
          <w:b w:val="1"/>
          <w:color w:val="691c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480" w:lineRule="auto"/>
        <w:jc w:val="both"/>
        <w:rPr>
          <w:rFonts w:ascii="Montserrat" w:cs="Montserrat" w:eastAsia="Montserrat" w:hAnsi="Montserrat"/>
          <w:b w:val="1"/>
          <w:color w:val="691c2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48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91c20"/>
          <w:sz w:val="18"/>
          <w:szCs w:val="18"/>
          <w:rtl w:val="0"/>
        </w:rPr>
        <w:t xml:space="preserve">Ejercicio fiscal: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48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91c20"/>
          <w:sz w:val="18"/>
          <w:szCs w:val="18"/>
          <w:rtl w:val="0"/>
        </w:rPr>
        <w:t xml:space="preserve">Nombre del programa: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Servicios de Educación Media Superior.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480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91c20"/>
          <w:sz w:val="18"/>
          <w:szCs w:val="18"/>
          <w:rtl w:val="0"/>
        </w:rPr>
        <w:t xml:space="preserve">Unidad responsable: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Centro de Enseñanza Técnica Industrial.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91c20"/>
          <w:sz w:val="18"/>
          <w:szCs w:val="18"/>
          <w:rtl w:val="0"/>
        </w:rPr>
        <w:t xml:space="preserve">Instancia normativa: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Dirección de Desarrollo Institucional.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91c20"/>
          <w:sz w:val="18"/>
          <w:szCs w:val="18"/>
          <w:rtl w:val="0"/>
        </w:rPr>
        <w:t xml:space="preserve">Instancias ejecutoras: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Departamento de Servicios de Apoyo Académico Plantel Colomos, Departamento de Servicios de Apoyo Académico Plantel Tonalá y Coordinación de Apoyo Académico Plantel Río Santiago. 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40" w:line="259" w:lineRule="auto"/>
        <w:ind w:left="1080" w:right="0" w:hanging="72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Contenido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26"/>
              <w:tab w:val="right" w:leader="none" w:pos="8828"/>
              <w:tab w:val="left" w:leader="none" w:pos="284"/>
            </w:tabs>
            <w:spacing w:after="100" w:before="0" w:line="259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gjdgxs"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hyperlink>
          <w:hyperlink w:anchor="_heading=h.gjdgx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_heading=h.gjdgxs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Programas de trabajo que convengan las instancias normativas con las instancias ejecutoras y, en su caso, los que éstas convengan con el Órgano Estatal de Control para la promoción y seguimiento de la contraloría social 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26"/>
              <w:tab w:val="right" w:leader="none" w:pos="8828"/>
              <w:tab w:val="left" w:leader="none" w:pos="284"/>
            </w:tabs>
            <w:spacing w:after="100" w:before="0" w:line="259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hyperlink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Actividades de contraloría social y los procedimientos para realizarlas, así como los medios por los cuales se difundirá la información relacionada con el programa federal.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26"/>
              <w:tab w:val="right" w:leader="none" w:pos="8828"/>
              <w:tab w:val="left" w:leader="none" w:pos="284"/>
            </w:tabs>
            <w:spacing w:after="100" w:before="0" w:line="259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hyperlink>
          <w:hyperlink w:anchor="_heading=h.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Responsables de promover la constitución de los comités de contraloría social y de proporcionar la capacitación y asesoría a los mismos, así como de la captación de sus informes.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26"/>
              <w:tab w:val="right" w:leader="none" w:pos="8828"/>
              <w:tab w:val="left" w:leader="none" w:pos="284"/>
            </w:tabs>
            <w:spacing w:after="100" w:before="0" w:line="259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hyperlink>
          <w:hyperlink w:anchor="_heading=h.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Mecanismos de seguimiento de las actividades de contraloría social, así como de sus resultados.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26"/>
              <w:tab w:val="right" w:leader="none" w:pos="8828"/>
              <w:tab w:val="left" w:leader="none" w:pos="284"/>
            </w:tabs>
            <w:spacing w:after="100" w:before="0" w:line="259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hyperlink>
          <w:hyperlink w:anchor="_heading=h.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Actividades por desarrollar por los comités de contraloría social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426"/>
              <w:tab w:val="right" w:leader="none" w:pos="8828"/>
              <w:tab w:val="left" w:leader="none" w:pos="284"/>
            </w:tabs>
            <w:spacing w:after="100" w:before="0" w:line="259" w:lineRule="auto"/>
            <w:ind w:left="284" w:right="0" w:hanging="284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Montserrat" w:cs="Montserrat" w:eastAsia="Montserrat" w:hAnsi="Montserra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hyperlink>
          <w:hyperlink w:anchor="_heading=h.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Montserrat" w:cs="Montserrat" w:eastAsia="Montserrat" w:hAnsi="Montserra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Mecanismos para presentar quejas y denuncias.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left" w:leader="none" w:pos="426"/>
            </w:tabs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numPr>
          <w:ilvl w:val="0"/>
          <w:numId w:val="5"/>
        </w:numPr>
        <w:tabs>
          <w:tab w:val="left" w:leader="none" w:pos="426"/>
          <w:tab w:val="left" w:leader="none" w:pos="851"/>
        </w:tabs>
        <w:ind w:left="851" w:hanging="567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Programas de trabajo que convengan las instancias normativas con las instancias ejecutoras y, en su caso, los que éstas convengan con los órganos estatales de control.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La Dirección de Desarrollo Institucional, acordará con los Enlaces de las áreas del Departamento de Servicios de Apoyo Académico Plantel Colomos, Departamento de Servicios de Apoyo Académico Plantel Tonalá y Coordinación de Apoyo Académico Plantel Río Santiago, un Programa de Trabajo de la Instancia Ejecutora en donde se establecerán las actividades de promoción, operación y seguimiento de contraloría social, los responsables, las metas, la unidad de medida y el calendario de ejecución.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Las instancias ejecutoras podrán acordar un Programa Estatal de Trabajo de Contraloría Social con los Órganos Estatales de Control  para: a) Difundir el mecanismo de contraloría social, así como los medios institucionales para presentar quejas y denuncias; b) Verificar que la constitución de los comités esté acorde con los documentos normativos de contraloría social validados; c) Distribuir los materiales de difusión a las personas beneficiarias y los comités de contraloría social; d) Capacitar a personas servidoras públicas federales, estatales y municipales; personas beneficiarias de los programas federales y a las personas integrantes de los comités respecto al mecanismo de contraloría social; y e) Recopilar los informes de los comités de contraloría social.</w:t>
      </w:r>
    </w:p>
    <w:p w:rsidR="00000000" w:rsidDel="00000000" w:rsidP="00000000" w:rsidRDefault="00000000" w:rsidRPr="00000000" w14:paraId="00000024">
      <w:pPr>
        <w:pStyle w:val="Heading1"/>
        <w:numPr>
          <w:ilvl w:val="0"/>
          <w:numId w:val="5"/>
        </w:numPr>
        <w:tabs>
          <w:tab w:val="left" w:leader="none" w:pos="426"/>
          <w:tab w:val="left" w:leader="none" w:pos="851"/>
        </w:tabs>
        <w:ind w:left="851" w:hanging="567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Actividades de contraloría social y los procedimientos para realizarlas, así como los medios por los cuales se difundirá la información relacionada con el programa federal.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0"/>
        </w:tabs>
        <w:spacing w:after="100" w:before="0" w:line="259" w:lineRule="auto"/>
        <w:ind w:left="420" w:right="0" w:hanging="42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Instancia Normativa realizará las siguientes actividades: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Designar a la persona servidora pública que fungirá como Enlace de Contraloría Social de la instancia normativa;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Diseñar, elaborar y entregar los documentos normativos de contraloría social (Esquema, Guía Operativa y Programa Anual de Trabajo de Contraloría Social) a la Coordinación General de Vinculación con la Sociedad, a través de la Coordinación de Vinculación con Ciudadanos y Organizaciones Sociales y Civiles, de la Secretaría de la Función Pública (SFP), para realizar el proceso de revisión y validación;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Entregar los documentos normativos de contraloría social validados a las instancias ejecutoras;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Publicar en su portal institucional los documentos normativos de contraloría social validados por la Coordinación de Vinculación con Ciudadanos y Organizaciones Sociales y Civiles;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Elaborar y asignar material de difusión y capacitación;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Capacitar y asesorar a las personas servidoras públicas de las instancias ejecutoras;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Asignar los materiales de difusión y capacitación a las instancias ejecutoras;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Aprobar el (los) programas de trabajo de las instancias ejecutoras;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Elaborar un informe de resultados de contraloría social;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Dar seguimiento a la captación, atención y canalización de las denuncias, quejas y/o sugerencias que los comités o personas beneficiarias presenten; y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Registrar información en el Sistema Informático de Contraloría Social (SICS) en el perfil de instancia normativa.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0"/>
        </w:tabs>
        <w:spacing w:after="100" w:before="0" w:line="259" w:lineRule="auto"/>
        <w:ind w:left="8828" w:right="0" w:hanging="8828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Las instancias ejecutoras realizarán las siguientes actividades: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Designar a la persona servidora pública que fungirá como enlace de contraloría social de la instancia ejecutora;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Elaborar y registrar el Programa de Trabajo de la Instancia Ejecutora;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Promover la constitución de los comités de contraloría social;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Capacitar y asesorar a las personas que integran los comités de contraloría social;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Elaborar y entregar el material de capacitación y difusión a los comités de contraloría social;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Realizar reuniones con las personas beneficiarias e integrantes de los comités de contraloría social;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Recopilar informes del comité de contraloría social;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Captar, atender y canalizar las denuncias, quejas y/o sugerencias que los comités o personas beneficiarias presenten;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Registrar información en el SICS en el perfil de instancia ejecutora; y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Dar seguimiento a las actividades de contraloría social.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Una vez validados y aprobados los documentos normativos de contraloría social, la Instancia Normativa los difundirá en su página de internet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0563c1"/>
            <w:sz w:val="18"/>
            <w:szCs w:val="18"/>
            <w:u w:val="single"/>
            <w:rtl w:val="0"/>
          </w:rPr>
          <w:t xml:space="preserve">https://www.ceti.mx/</w:t>
        </w:r>
      </w:hyperlink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y la notificará a las instancias ejecutoras para que puedan consultar dichos documentos.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La Instancia Normativa difundirá la información del programa federal y del mecanismo de contraloría social mediante “</w:t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Banners informativos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” para la difusión de la información relacionada con el Programa y la Controlaría Social a través de medios electrónicos.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bookmarkStart w:colFirst="0" w:colLast="0" w:name="_heading=h.1fob9te" w:id="2"/>
      <w:bookmarkEnd w:id="2"/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La Instancia Normativa proporcionará el material de difusión a las instancias ejecutoras y, a su vez, deberá instruir a estas la forma de entrega a los comités de contraloría social y a las personas beneficiarias. Adicionalmente, las instancias ejecutoras podrán elaborar materiales propios, previa autorización de la Instancia Normativa.</w:t>
      </w:r>
    </w:p>
    <w:p w:rsidR="00000000" w:rsidDel="00000000" w:rsidP="00000000" w:rsidRDefault="00000000" w:rsidRPr="00000000" w14:paraId="0000003F">
      <w:pPr>
        <w:pStyle w:val="Heading1"/>
        <w:numPr>
          <w:ilvl w:val="0"/>
          <w:numId w:val="5"/>
        </w:numPr>
        <w:tabs>
          <w:tab w:val="left" w:leader="none" w:pos="426"/>
          <w:tab w:val="left" w:leader="none" w:pos="851"/>
        </w:tabs>
        <w:ind w:left="851" w:hanging="567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Responsables de promover la constitución de los comités de contraloría social y de proporcionar la capacitación y asesoría a los mismos, así como de la captación de sus informes.</w:t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Las instancias ejecutoras serán las responsables de promover la constitución de los comités de contraloría social y de proporcionar la capacitación y asesoría a los mismos, así como de la captación de sus informes; los procedimientos para realizar dichas actividades serán descritos en la Guía Operativa.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numPr>
          <w:ilvl w:val="0"/>
          <w:numId w:val="5"/>
        </w:numPr>
        <w:tabs>
          <w:tab w:val="left" w:leader="none" w:pos="426"/>
          <w:tab w:val="left" w:leader="none" w:pos="851"/>
        </w:tabs>
        <w:ind w:left="851" w:hanging="567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Mecanismos de seguimiento de las actividades de contraloría social, así como de sus resultados.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La Instancia Normativa y las instancias ejecutoras registrarán en el SICS las actividades de promoción de contraloría social realizadas considerando los siguientes perfiles.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0"/>
        </w:tabs>
        <w:spacing w:after="100" w:before="0" w:line="259" w:lineRule="auto"/>
        <w:ind w:left="420" w:right="0" w:hanging="42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 el perfil Instancia Normativa se registrarán: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Documentos normativos de contraloría social;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Actividades de seguimiento;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Características del programa federal;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Presupuesto;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Tipos de beneficios que otorga el programa federal;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Creación y administración de usuarios y cuentas de la instancia ejecutora;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Distribución de los materiales de difusión y capacitación; y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Eventos de capacitación y asesoría.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0"/>
        </w:tabs>
        <w:spacing w:after="100" w:before="0" w:line="259" w:lineRule="auto"/>
        <w:ind w:left="420" w:right="0" w:hanging="42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0"/>
        </w:tabs>
        <w:spacing w:after="100" w:before="0" w:line="259" w:lineRule="auto"/>
        <w:ind w:left="420" w:right="0" w:hanging="42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 el Perfil Instancia Ejecutora se registrarán: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6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Programa de Trabajo de Contraloría Social de la Instancia Ejecutora;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6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Actividades de seguimiento;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6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Distribución de los materiales de difusión y capacitación;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6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Eventos de capacitación y asesoría;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6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Reuniones;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6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Beneficios (apoyo, obra o servicios vigilados);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6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Comités de Contraloría Social; 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851" w:right="0" w:hanging="426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Informes 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del Comité</w:t>
      </w: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 Contraloría Social.</w:t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La Instancia Normativa dará el seguimiento de las actividades de promoción de contraloría social realizadas por las instancias ejecutoras mediante solicitud de informes que éstas definan y los registros en el SICS.</w:t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Derivado de sus actividades de seguimiento, presentará a la Coordinación de Vinculación con Ciudadanos y Organizaciones Sociales y Civiles, en el primer bimestre del ejercicio fiscal siguiente, un informe de resultados de contraloría social, identificando las áreas de oportunidad en la implementación de acciones de mejora o correctivas.</w:t>
      </w:r>
    </w:p>
    <w:p w:rsidR="00000000" w:rsidDel="00000000" w:rsidP="00000000" w:rsidRDefault="00000000" w:rsidRPr="00000000" w14:paraId="00000058">
      <w:pPr>
        <w:pStyle w:val="Heading1"/>
        <w:numPr>
          <w:ilvl w:val="0"/>
          <w:numId w:val="5"/>
        </w:numPr>
        <w:tabs>
          <w:tab w:val="left" w:leader="none" w:pos="426"/>
          <w:tab w:val="left" w:leader="none" w:pos="851"/>
        </w:tabs>
        <w:ind w:left="851" w:hanging="567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Actividades por desarrollar por los comités de contraloría social</w:t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Los comités de contraloría social podrán realizar las siguientes actividades: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Solicitar a la instancia normativa, oficinas de representación federal o a la instancia ejecutora la información pública relacionada con la operación del programa federal;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Vigilar que: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difunda información suficiente, veraz y oportuna sobre la operación del programa federal;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ejercicio de los recursos públicos para los beneficios otorgados por el programa federal sea oportuno, transparente, observante de las reglas de operación y, en su caso, de la normativa aplicable;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Las personas beneficiarias del programa federal cumplan con los requisitos de acuerdo con la normativa aplicable;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cumpla con los periodos de ejecución y entrega de los beneficios;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Exista documentación comprobatoria del ejercicio de los recursos públicos y de la entrega de los beneficios;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programa federal no se utilice con fines políticos, electorales, de promoción personal, de lucro u otros distintos al objeto del programa federal;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 programa federal se ejecute en un marco de igualdad entre mujeres y hombres; y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Las autoridades competentes den atención a las quejas y denuncias relacionadas con el programa federal.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Elaborar informes de los resultados de las actividades de operación de la contraloría social realizadas, así como dar seguimiento, en su caso, a los mismos; y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Recibir las quejas y denuncias sobre la aplicación y ejecución de los programas federales, recabar la información de estas y canalizarlas a las autoridades competentes para su atención.</w:t>
      </w:r>
    </w:p>
    <w:p w:rsidR="00000000" w:rsidDel="00000000" w:rsidP="00000000" w:rsidRDefault="00000000" w:rsidRPr="00000000" w14:paraId="00000066">
      <w:pPr>
        <w:pStyle w:val="Heading1"/>
        <w:numPr>
          <w:ilvl w:val="0"/>
          <w:numId w:val="5"/>
        </w:numPr>
        <w:tabs>
          <w:tab w:val="left" w:leader="none" w:pos="426"/>
          <w:tab w:val="left" w:leader="none" w:pos="851"/>
        </w:tabs>
        <w:ind w:left="851" w:hanging="567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Mecanismos para presentar quejas y denuncias.</w:t>
      </w:r>
    </w:p>
    <w:p w:rsidR="00000000" w:rsidDel="00000000" w:rsidP="00000000" w:rsidRDefault="00000000" w:rsidRPr="00000000" w14:paraId="00000067">
      <w:pPr>
        <w:spacing w:after="0" w:line="276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En caso de detectar irregularidades en la ejecución del programa federal se podrán presentar quejas y denuncias mediante los siguientes mecanismos:</w:t>
      </w:r>
    </w:p>
    <w:p w:rsidR="00000000" w:rsidDel="00000000" w:rsidP="00000000" w:rsidRDefault="00000000" w:rsidRPr="00000000" w14:paraId="00000068">
      <w:pPr>
        <w:spacing w:after="0" w:line="276" w:lineRule="auto"/>
        <w:jc w:val="both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Mecanismos de la Secretaría de la Función Pública: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76" w:lineRule="auto"/>
        <w:ind w:left="709" w:hanging="0.9999999999999432"/>
        <w:jc w:val="both"/>
        <w:rPr>
          <w:rFonts w:ascii="Montserrat" w:cs="Montserrat" w:eastAsia="Montserrat" w:hAnsi="Montserrat"/>
          <w:sz w:val="18"/>
          <w:szCs w:val="18"/>
        </w:rPr>
      </w:pPr>
      <w:bookmarkStart w:colFirst="0" w:colLast="0" w:name="_heading=h.2s8eyo1" w:id="9"/>
      <w:bookmarkEnd w:id="9"/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Las denuncias podrán realizarse a través del Sistema Integral de Denuncias Ciudadanas (SIDEC) en la liga https//sidec.funcionpublica.gob.mx/ las 24 horas del día, los 365 días del año; o mediante escrito presentado en la Secretaría de la Función Pública, ubicada en Avenida Insurgentes Sur 1735, Colonia Guadalupe Inn, C. P. 01020, Alcaldía Álvaro Obregón, Ciudad de México.</w:t>
      </w:r>
    </w:p>
    <w:p w:rsidR="00000000" w:rsidDel="00000000" w:rsidP="00000000" w:rsidRDefault="00000000" w:rsidRPr="00000000" w14:paraId="0000006C">
      <w:pPr>
        <w:spacing w:after="0" w:line="276" w:lineRule="auto"/>
        <w:ind w:left="709" w:hanging="283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76" w:lineRule="auto"/>
        <w:ind w:left="709" w:firstLine="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En caso de requerir asesoría en la presentación de denuncias, podrán comunicarse a los teléfonos 55 2000 2000 y al número gratuito 800 112 87 00.</w:t>
      </w:r>
    </w:p>
    <w:p w:rsidR="00000000" w:rsidDel="00000000" w:rsidP="00000000" w:rsidRDefault="00000000" w:rsidRPr="00000000" w14:paraId="0000006E">
      <w:pPr>
        <w:spacing w:after="0" w:line="276" w:lineRule="auto"/>
        <w:ind w:left="709" w:hanging="283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Mecanismos del Centro de Enseñanza Técnica Industrial:</w:t>
      </w:r>
    </w:p>
    <w:p w:rsidR="00000000" w:rsidDel="00000000" w:rsidP="00000000" w:rsidRDefault="00000000" w:rsidRPr="00000000" w14:paraId="00000070">
      <w:pPr>
        <w:spacing w:after="0" w:line="276" w:lineRule="auto"/>
        <w:ind w:left="709" w:firstLine="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76" w:lineRule="auto"/>
        <w:ind w:left="709" w:firstLine="0"/>
        <w:jc w:val="both"/>
        <w:rPr>
          <w:rFonts w:ascii="Montserrat" w:cs="Montserrat" w:eastAsia="Montserrat" w:hAnsi="Montserrat"/>
          <w:sz w:val="18"/>
          <w:szCs w:val="18"/>
        </w:rPr>
      </w:pPr>
      <w:bookmarkStart w:colFirst="0" w:colLast="0" w:name="_heading=h.17dp8vu" w:id="10"/>
      <w:bookmarkEnd w:id="10"/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Las denuncias podrán realizarse a través del contacto telefónico con la Instancia Normativa, en el número: 36413250, extensión 409, o mediante escrito presentado en el domicilio ubicado en Nueva Escocia, número 1885, colonia Fraccionamiento Providencia quinta sección, Guadalajara, Estado de Jalisco, código postal 44638.</w:t>
      </w:r>
    </w:p>
    <w:p w:rsidR="00000000" w:rsidDel="00000000" w:rsidP="00000000" w:rsidRDefault="00000000" w:rsidRPr="00000000" w14:paraId="00000072">
      <w:pPr>
        <w:spacing w:after="0" w:line="276" w:lineRule="auto"/>
        <w:ind w:left="709" w:hanging="283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Mecanismos de la Oficina de Representación en el Centro de Enseñanza Técnica Industrial: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Las denuncias podrán realizarse a través del contacto telefónico con la Oficina de Representación en el Centro de Enseñanza Técnica Industrial en el número 36413250, extensión 207 o 254, o mediante escrito en el domicilio ubicado en Nueva Escocia, número 1885, colonia Fraccionamiento Providencia quinta sección, Guadalajara, Estado de Jalisco, código postal 44638.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Mecanismos del Órgano Estatal de Control:</w:t>
      </w:r>
    </w:p>
    <w:p w:rsidR="00000000" w:rsidDel="00000000" w:rsidP="00000000" w:rsidRDefault="00000000" w:rsidRPr="00000000" w14:paraId="00000078">
      <w:pPr>
        <w:spacing w:after="0" w:line="276" w:lineRule="auto"/>
        <w:ind w:left="360" w:firstLine="0"/>
        <w:jc w:val="both"/>
        <w:rPr>
          <w:rFonts w:ascii="Montserrat" w:cs="Montserrat" w:eastAsia="Montserrat" w:hAnsi="Montserrat"/>
          <w:sz w:val="18"/>
          <w:szCs w:val="18"/>
        </w:rPr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76" w:lineRule="auto"/>
        <w:ind w:left="360" w:firstLine="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Las instancias ejecutoras darán a conocer los mecanismos de captación y atención de quejas y denuncias de los Órganos Estatales de Control pertinentes, con base en los acuerdos de colaboración correspondientes y orientarán en su presentación en los mecanismos de difusión.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-240029</wp:posOffset>
          </wp:positionV>
          <wp:extent cx="1295400" cy="847725"/>
          <wp:effectExtent b="0" l="0" r="0" t="0"/>
          <wp:wrapNone/>
          <wp:docPr descr="Archivo:CETI Logo.png" id="2059584315" name="image2.png"/>
          <a:graphic>
            <a:graphicData uri="http://schemas.openxmlformats.org/drawingml/2006/picture">
              <pic:pic>
                <pic:nvPicPr>
                  <pic:cNvPr descr="Archivo:CETI 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5400" cy="847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3885565</wp:posOffset>
          </wp:positionH>
          <wp:positionV relativeFrom="paragraph">
            <wp:posOffset>-367029</wp:posOffset>
          </wp:positionV>
          <wp:extent cx="2154857" cy="900000"/>
          <wp:effectExtent b="0" l="0" r="0" t="0"/>
          <wp:wrapTopAndBottom distB="0" distT="0"/>
          <wp:docPr descr="Logotipo&#10;&#10;Descripción generada automáticamente" id="2059584314" name="image3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4857" cy="90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426"/>
      </w:tabs>
      <w:spacing w:line="276" w:lineRule="auto"/>
      <w:ind w:left="1080" w:hanging="720"/>
      <w:jc w:val="both"/>
    </w:pPr>
    <w:rPr>
      <w:rFonts w:ascii="Montserrat" w:cs="Montserrat" w:eastAsia="Montserrat" w:hAnsi="Montserrat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Montserrat" w:cs="Montserrat" w:eastAsia="Montserrat" w:hAnsi="Montserrat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Prrafodelista"/>
    <w:next w:val="Normal"/>
    <w:link w:val="Ttulo1Car"/>
    <w:uiPriority w:val="9"/>
    <w:qFormat w:val="1"/>
    <w:rsid w:val="00834F99"/>
    <w:pPr>
      <w:numPr>
        <w:numId w:val="15"/>
      </w:numPr>
      <w:tabs>
        <w:tab w:val="left" w:pos="426"/>
      </w:tabs>
      <w:spacing w:line="276" w:lineRule="auto"/>
      <w:jc w:val="both"/>
      <w:outlineLvl w:val="0"/>
    </w:pPr>
    <w:rPr>
      <w:rFonts w:ascii="Montserrat" w:hAnsi="Montserrat"/>
      <w:b w:val="1"/>
      <w:sz w:val="18"/>
      <w:szCs w:val="1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8A343B"/>
    <w:pPr>
      <w:ind w:left="720"/>
      <w:contextualSpacing w:val="1"/>
    </w:pPr>
  </w:style>
  <w:style w:type="paragraph" w:styleId="Sinespaciado">
    <w:name w:val="No Spacing"/>
    <w:basedOn w:val="TDC1"/>
    <w:uiPriority w:val="1"/>
    <w:qFormat w:val="1"/>
    <w:rsid w:val="00661E49"/>
    <w:pPr>
      <w:tabs>
        <w:tab w:val="clear" w:pos="426"/>
        <w:tab w:val="left" w:pos="440"/>
      </w:tabs>
    </w:pPr>
    <w:rPr>
      <w:rFonts w:ascii="Montserrat" w:hAnsi="Montserrat"/>
      <w:noProof w:val="1"/>
      <w:sz w:val="18"/>
      <w:szCs w:val="18"/>
    </w:rPr>
  </w:style>
  <w:style w:type="character" w:styleId="Ttulo1Car" w:customStyle="1">
    <w:name w:val="Título 1 Car"/>
    <w:basedOn w:val="Fuentedeprrafopredeter"/>
    <w:link w:val="Ttulo1"/>
    <w:uiPriority w:val="9"/>
    <w:rsid w:val="00834F99"/>
    <w:rPr>
      <w:rFonts w:ascii="Montserrat" w:hAnsi="Montserrat"/>
      <w:b w:val="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07775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77751"/>
  </w:style>
  <w:style w:type="paragraph" w:styleId="Piedepgina">
    <w:name w:val="footer"/>
    <w:basedOn w:val="Normal"/>
    <w:link w:val="PiedepginaCar"/>
    <w:uiPriority w:val="99"/>
    <w:unhideWhenUsed w:val="1"/>
    <w:rsid w:val="0007775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77751"/>
  </w:style>
  <w:style w:type="paragraph" w:styleId="Ttulo">
    <w:name w:val="Title"/>
    <w:basedOn w:val="Normal"/>
    <w:next w:val="Normal"/>
    <w:link w:val="TtuloCar"/>
    <w:uiPriority w:val="10"/>
    <w:qFormat w:val="1"/>
    <w:rsid w:val="00720034"/>
    <w:pPr>
      <w:spacing w:after="0" w:line="240" w:lineRule="auto"/>
      <w:contextualSpacing w:val="1"/>
    </w:pPr>
    <w:rPr>
      <w:rFonts w:ascii="Montserrat" w:hAnsi="Montserrat" w:cstheme="majorBidi" w:eastAsiaTheme="majorEastAsia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20034"/>
    <w:rPr>
      <w:rFonts w:ascii="Montserrat" w:hAnsi="Montserrat" w:cstheme="majorBidi" w:eastAsiaTheme="majorEastAsia"/>
      <w:spacing w:val="-10"/>
      <w:kern w:val="28"/>
      <w:sz w:val="56"/>
      <w:szCs w:val="56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152114"/>
    <w:pPr>
      <w:keepNext w:val="1"/>
      <w:keepLines w:val="1"/>
      <w:numPr>
        <w:numId w:val="0"/>
      </w:numPr>
      <w:tabs>
        <w:tab w:val="clear" w:pos="426"/>
      </w:tabs>
      <w:spacing w:after="0" w:before="240" w:line="259" w:lineRule="auto"/>
      <w:contextualSpacing w:val="0"/>
      <w:jc w:val="left"/>
      <w:outlineLvl w:val="9"/>
    </w:pPr>
    <w:rPr>
      <w:rFonts w:cstheme="majorBidi" w:eastAsiaTheme="majorEastAsia"/>
      <w:b w:val="0"/>
      <w:sz w:val="32"/>
      <w:szCs w:val="32"/>
      <w:lang w:eastAsia="es-MX" w:val="es-ES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D16E83"/>
    <w:pPr>
      <w:tabs>
        <w:tab w:val="left" w:pos="426"/>
        <w:tab w:val="right" w:leader="dot" w:pos="8828"/>
      </w:tabs>
      <w:spacing w:after="100"/>
      <w:ind w:left="420" w:hanging="420"/>
      <w:jc w:val="both"/>
    </w:pPr>
  </w:style>
  <w:style w:type="character" w:styleId="Hipervnculo">
    <w:name w:val="Hyperlink"/>
    <w:basedOn w:val="Fuentedeprrafopredeter"/>
    <w:uiPriority w:val="99"/>
    <w:unhideWhenUsed w:val="1"/>
    <w:rsid w:val="00834F99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 w:val="1"/>
    <w:uiPriority w:val="39"/>
    <w:unhideWhenUsed w:val="1"/>
    <w:rsid w:val="00661E49"/>
    <w:pPr>
      <w:spacing w:after="100"/>
      <w:ind w:left="220"/>
    </w:pPr>
    <w:rPr>
      <w:rFonts w:cs="Times New Roman" w:eastAsiaTheme="minorEastAsia"/>
      <w:lang w:eastAsia="es-MX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661E49"/>
    <w:pPr>
      <w:spacing w:after="100"/>
      <w:ind w:left="440"/>
    </w:pPr>
    <w:rPr>
      <w:rFonts w:cs="Times New Roman" w:eastAsiaTheme="minorEastAsia"/>
      <w:lang w:eastAsia="es-MX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0D5E3E"/>
    <w:pPr>
      <w:pBdr>
        <w:top w:color="5b9bd5" w:space="10" w:sz="4" w:themeColor="accent1" w:val="single"/>
        <w:bottom w:color="5b9bd5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5b9bd5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0D5E3E"/>
    <w:rPr>
      <w:i w:val="1"/>
      <w:iCs w:val="1"/>
      <w:color w:val="5b9bd5" w:themeColor="accent1"/>
    </w:rPr>
  </w:style>
  <w:style w:type="paragraph" w:styleId="Revisin">
    <w:name w:val="Revision"/>
    <w:hidden w:val="1"/>
    <w:uiPriority w:val="99"/>
    <w:semiHidden w:val="1"/>
    <w:rsid w:val="007A2ED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92F4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92F46"/>
    <w:rPr>
      <w:rFonts w:ascii="Segoe UI" w:cs="Segoe UI" w:hAnsi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3A324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eti.mx/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OnW3uB0l3o9v5RcWvXMenR6pcg==">CgMxLjAyCGguZ2pkZ3hzMgloLjMwajB6bGwyCWguMWZvYjl0ZTIJaC4zem55c2g3MgloLjJldDkycDAyCGgudHlqY3d0MgloLjNkeTZ2a20yCWguMXQzaDVzZjIJaC40ZDM0b2c4MgloLjJzOGV5bzEyCWguMTdkcDh2dTIJaC4xN2RwOHZ1OAByITE0aHJ4VTgxUE93azN5VkZGVFVfY1VkVzB5Wllrd0ptOA==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2023-12-15T01:35:00Z</dcterms:created>
  <dc:creator>Ryzen 5</dc:creator>
</cp:coreProperties>
</file>